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4533CA" w:rsidRDefault="004533CA">
      <w:pPr>
        <w:spacing w:after="160" w:line="480" w:lineRule="auto"/>
        <w:jc w:val="center"/>
        <w:rPr>
          <w:rFonts w:ascii="Times New Roman" w:eastAsia="Times New Roman" w:hAnsi="Times New Roman" w:cs="Times New Roman"/>
          <w:sz w:val="24"/>
          <w:szCs w:val="24"/>
        </w:rPr>
      </w:pPr>
    </w:p>
    <w:p w14:paraId="00000005" w14:textId="77777777" w:rsidR="004533CA" w:rsidRDefault="004533CA" w:rsidP="003E31AA">
      <w:pPr>
        <w:spacing w:after="160" w:line="480" w:lineRule="auto"/>
        <w:rPr>
          <w:rFonts w:ascii="Times New Roman" w:eastAsia="Times New Roman" w:hAnsi="Times New Roman" w:cs="Times New Roman"/>
          <w:sz w:val="24"/>
          <w:szCs w:val="24"/>
        </w:rPr>
      </w:pPr>
    </w:p>
    <w:p w14:paraId="00000006" w14:textId="4E85737E" w:rsidR="004533CA" w:rsidRPr="00035C8F" w:rsidRDefault="00000000" w:rsidP="00035C8F">
      <w:pPr>
        <w:pStyle w:val="Heading1"/>
        <w:jc w:val="center"/>
        <w:rPr>
          <w:rFonts w:ascii="Times New Roman" w:hAnsi="Times New Roman" w:cs="Times New Roman"/>
          <w:sz w:val="24"/>
          <w:szCs w:val="24"/>
        </w:rPr>
      </w:pPr>
      <w:r w:rsidRPr="00035C8F">
        <w:rPr>
          <w:rFonts w:ascii="Times New Roman" w:hAnsi="Times New Roman" w:cs="Times New Roman"/>
          <w:sz w:val="24"/>
          <w:szCs w:val="24"/>
        </w:rPr>
        <w:t xml:space="preserve">Conversion Therapy and its </w:t>
      </w:r>
      <w:r w:rsidR="003E31AA" w:rsidRPr="00035C8F">
        <w:rPr>
          <w:rFonts w:ascii="Times New Roman" w:hAnsi="Times New Roman" w:cs="Times New Roman"/>
          <w:sz w:val="24"/>
          <w:szCs w:val="24"/>
        </w:rPr>
        <w:t>Long-Lasting</w:t>
      </w:r>
      <w:r w:rsidRPr="00035C8F">
        <w:rPr>
          <w:rFonts w:ascii="Times New Roman" w:hAnsi="Times New Roman" w:cs="Times New Roman"/>
          <w:sz w:val="24"/>
          <w:szCs w:val="24"/>
        </w:rPr>
        <w:t xml:space="preserve"> Effects</w:t>
      </w:r>
    </w:p>
    <w:p w14:paraId="00000007" w14:textId="77777777" w:rsidR="004533CA" w:rsidRPr="00035C8F" w:rsidRDefault="004533CA" w:rsidP="00035C8F">
      <w:pPr>
        <w:pStyle w:val="Heading1"/>
        <w:jc w:val="center"/>
        <w:rPr>
          <w:rFonts w:ascii="Times New Roman" w:hAnsi="Times New Roman" w:cs="Times New Roman"/>
          <w:sz w:val="24"/>
          <w:szCs w:val="24"/>
        </w:rPr>
      </w:pPr>
    </w:p>
    <w:p w14:paraId="00000008" w14:textId="77777777" w:rsidR="004533CA" w:rsidRPr="00035C8F" w:rsidRDefault="004533CA" w:rsidP="00035C8F">
      <w:pPr>
        <w:pStyle w:val="Heading1"/>
        <w:jc w:val="center"/>
        <w:rPr>
          <w:rFonts w:ascii="Times New Roman" w:hAnsi="Times New Roman" w:cs="Times New Roman"/>
          <w:sz w:val="24"/>
          <w:szCs w:val="24"/>
        </w:rPr>
      </w:pPr>
    </w:p>
    <w:p w14:paraId="0000000E" w14:textId="77777777" w:rsidR="004533CA" w:rsidRPr="00035C8F" w:rsidRDefault="004533CA" w:rsidP="00035C8F">
      <w:pPr>
        <w:pStyle w:val="Heading1"/>
        <w:jc w:val="center"/>
        <w:rPr>
          <w:rFonts w:ascii="Times New Roman" w:hAnsi="Times New Roman" w:cs="Times New Roman"/>
          <w:sz w:val="24"/>
          <w:szCs w:val="24"/>
        </w:rPr>
      </w:pPr>
    </w:p>
    <w:p w14:paraId="0000000F" w14:textId="70AC8023" w:rsidR="004533CA" w:rsidRPr="00035C8F" w:rsidRDefault="00000000" w:rsidP="00035C8F">
      <w:pPr>
        <w:pStyle w:val="Heading1"/>
        <w:jc w:val="center"/>
        <w:rPr>
          <w:rFonts w:ascii="Times New Roman" w:hAnsi="Times New Roman" w:cs="Times New Roman"/>
          <w:sz w:val="24"/>
          <w:szCs w:val="24"/>
        </w:rPr>
      </w:pPr>
      <w:r w:rsidRPr="00035C8F">
        <w:rPr>
          <w:rFonts w:ascii="Times New Roman" w:hAnsi="Times New Roman" w:cs="Times New Roman"/>
          <w:sz w:val="24"/>
          <w:szCs w:val="24"/>
        </w:rPr>
        <w:t>By: Diana M Alarcon Roman</w:t>
      </w:r>
    </w:p>
    <w:p w14:paraId="00000010" w14:textId="24BCC55D" w:rsidR="004533CA" w:rsidRPr="00035C8F" w:rsidRDefault="00000000" w:rsidP="00035C8F">
      <w:pPr>
        <w:pStyle w:val="Heading1"/>
        <w:jc w:val="center"/>
        <w:rPr>
          <w:rFonts w:ascii="Times New Roman" w:hAnsi="Times New Roman" w:cs="Times New Roman"/>
          <w:sz w:val="24"/>
          <w:szCs w:val="24"/>
        </w:rPr>
      </w:pPr>
      <w:r w:rsidRPr="00035C8F">
        <w:rPr>
          <w:rFonts w:ascii="Times New Roman" w:hAnsi="Times New Roman" w:cs="Times New Roman"/>
          <w:sz w:val="24"/>
          <w:szCs w:val="24"/>
        </w:rPr>
        <w:t>WRTG3020</w:t>
      </w:r>
    </w:p>
    <w:p w14:paraId="00000011" w14:textId="78EC43FE" w:rsidR="003E31AA" w:rsidRPr="00035C8F" w:rsidRDefault="00000000" w:rsidP="00035C8F">
      <w:pPr>
        <w:pStyle w:val="Heading1"/>
        <w:jc w:val="center"/>
        <w:rPr>
          <w:rFonts w:ascii="Times New Roman" w:hAnsi="Times New Roman" w:cs="Times New Roman"/>
          <w:sz w:val="24"/>
          <w:szCs w:val="24"/>
        </w:rPr>
      </w:pPr>
      <w:r w:rsidRPr="00035C8F">
        <w:rPr>
          <w:rFonts w:ascii="Times New Roman" w:hAnsi="Times New Roman" w:cs="Times New Roman"/>
          <w:sz w:val="24"/>
          <w:szCs w:val="24"/>
        </w:rPr>
        <w:t>October 30th, 2024</w:t>
      </w:r>
    </w:p>
    <w:p w14:paraId="049401A7" w14:textId="77777777" w:rsidR="003E31AA" w:rsidRDefault="003E31A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0000012" w14:textId="5B8674DF" w:rsidR="004533CA" w:rsidRDefault="00000000" w:rsidP="003E31AA">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Conversion therapy is a practice used to attempt to change an individual's sexual orientation or gender identity. This discredited therapy technique traces back to 19th century Europe and then ma</w:t>
      </w:r>
      <w:r w:rsidR="00035C8F">
        <w:rPr>
          <w:rFonts w:ascii="Times New Roman" w:eastAsia="Times New Roman" w:hAnsi="Times New Roman" w:cs="Times New Roman"/>
          <w:sz w:val="24"/>
          <w:szCs w:val="24"/>
        </w:rPr>
        <w:t>de</w:t>
      </w:r>
      <w:r>
        <w:rPr>
          <w:rFonts w:ascii="Times New Roman" w:eastAsia="Times New Roman" w:hAnsi="Times New Roman" w:cs="Times New Roman"/>
          <w:sz w:val="24"/>
          <w:szCs w:val="24"/>
        </w:rPr>
        <w:t xml:space="preserve"> its way to the United States shortly after.</w:t>
      </w:r>
      <w:r w:rsidR="00035C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Recent research conducted by mental health professionals </w:t>
      </w:r>
      <w:proofErr w:type="gramStart"/>
      <w:r>
        <w:rPr>
          <w:rFonts w:ascii="Times New Roman" w:eastAsia="Times New Roman" w:hAnsi="Times New Roman" w:cs="Times New Roman"/>
          <w:sz w:val="24"/>
          <w:szCs w:val="24"/>
        </w:rPr>
        <w:t>have</w:t>
      </w:r>
      <w:proofErr w:type="gramEnd"/>
      <w:r>
        <w:rPr>
          <w:rFonts w:ascii="Times New Roman" w:eastAsia="Times New Roman" w:hAnsi="Times New Roman" w:cs="Times New Roman"/>
          <w:sz w:val="24"/>
          <w:szCs w:val="24"/>
        </w:rPr>
        <w:t xml:space="preserve"> found that this kind of practice is a form of psychological abuse. Psychological abuse is defined as behaviors or attitudes that lead to abusive tendencies. These include manipulation, emotional harm, threats and actions taken to undermine a person's </w:t>
      </w:r>
      <w:r w:rsidR="00035C8F">
        <w:rPr>
          <w:rFonts w:ascii="Times New Roman" w:eastAsia="Times New Roman" w:hAnsi="Times New Roman" w:cs="Times New Roman"/>
          <w:sz w:val="24"/>
          <w:szCs w:val="24"/>
        </w:rPr>
        <w:t>self-worth</w:t>
      </w:r>
      <w:r>
        <w:rPr>
          <w:rFonts w:ascii="Times New Roman" w:eastAsia="Times New Roman" w:hAnsi="Times New Roman" w:cs="Times New Roman"/>
          <w:sz w:val="24"/>
          <w:szCs w:val="24"/>
        </w:rPr>
        <w:t>, or autonomy.</w:t>
      </w:r>
      <w:r w:rsidR="00EF04B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Many of these ‘therapies’ were based on talk therapy; however, earlier in history, professionals attempted to use medicalization as a technique to “cure” these individuals with practices like “castration, testicle implants, bladder washing, and rectal massage”</w:t>
      </w:r>
      <w:r>
        <w:rPr>
          <w:rFonts w:ascii="Times New Roman" w:eastAsia="Times New Roman" w:hAnsi="Times New Roman" w:cs="Times New Roman"/>
          <w:sz w:val="24"/>
          <w:szCs w:val="24"/>
          <w:vertAlign w:val="superscript"/>
        </w:rPr>
        <w:footnoteReference w:id="1"/>
      </w:r>
      <w:r w:rsidR="00035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Doctors soon realized that these did not work. In the </w:t>
      </w:r>
      <w:r w:rsidRPr="00035C8F">
        <w:rPr>
          <w:rFonts w:ascii="Times New Roman" w:eastAsia="Times New Roman" w:hAnsi="Times New Roman" w:cs="Times New Roman"/>
          <w:i/>
          <w:iCs/>
          <w:sz w:val="24"/>
          <w:szCs w:val="24"/>
        </w:rPr>
        <w:t>Engaging Mental Health Service Providers to Recognize and Support Conversion Practice Survivors through Their Journey to Recovery</w:t>
      </w:r>
      <w:r>
        <w:rPr>
          <w:rFonts w:ascii="Times New Roman" w:eastAsia="Times New Roman" w:hAnsi="Times New Roman" w:cs="Times New Roman"/>
          <w:sz w:val="24"/>
          <w:szCs w:val="24"/>
        </w:rPr>
        <w:t xml:space="preserve">, the </w:t>
      </w:r>
      <w:proofErr w:type="gramStart"/>
      <w:r>
        <w:rPr>
          <w:rFonts w:ascii="Times New Roman" w:eastAsia="Times New Roman" w:hAnsi="Times New Roman" w:cs="Times New Roman"/>
          <w:sz w:val="24"/>
          <w:szCs w:val="24"/>
        </w:rPr>
        <w:t>writers  speak</w:t>
      </w:r>
      <w:proofErr w:type="gramEnd"/>
      <w:r>
        <w:rPr>
          <w:rFonts w:ascii="Times New Roman" w:eastAsia="Times New Roman" w:hAnsi="Times New Roman" w:cs="Times New Roman"/>
          <w:sz w:val="24"/>
          <w:szCs w:val="24"/>
        </w:rPr>
        <w:t xml:space="preserve"> on countless therapies: “These programs can take the form of group, one-to-one therapy,  counseling, camps, or support groups”</w:t>
      </w:r>
      <w:r>
        <w:rPr>
          <w:rFonts w:ascii="Times New Roman" w:eastAsia="Times New Roman" w:hAnsi="Times New Roman" w:cs="Times New Roman"/>
          <w:sz w:val="24"/>
          <w:szCs w:val="24"/>
          <w:vertAlign w:val="superscript"/>
        </w:rPr>
        <w:footnoteReference w:id="2"/>
      </w:r>
      <w:r w:rsidR="00035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There's an ongoing legal and social effort to ban conversion therapy to protect the LGBTQ+ community’s mental health. Regardless of it being discredited by some governments and professional bodies, it continues to be used in some religious and conservative communities. </w:t>
      </w:r>
    </w:p>
    <w:p w14:paraId="00000013" w14:textId="487DBCFC" w:rsidR="004533CA" w:rsidRDefault="00000000">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Individuals that are fortunate enough to survive conversion therapy are left with severe, </w:t>
      </w:r>
      <w:r w:rsidR="00035C8F">
        <w:rPr>
          <w:rFonts w:ascii="Times New Roman" w:eastAsia="Times New Roman" w:hAnsi="Times New Roman" w:cs="Times New Roman"/>
          <w:sz w:val="24"/>
          <w:szCs w:val="24"/>
        </w:rPr>
        <w:t>long-lasting</w:t>
      </w:r>
      <w:r>
        <w:rPr>
          <w:rFonts w:ascii="Times New Roman" w:eastAsia="Times New Roman" w:hAnsi="Times New Roman" w:cs="Times New Roman"/>
          <w:sz w:val="24"/>
          <w:szCs w:val="24"/>
        </w:rPr>
        <w:t xml:space="preserve"> effects, such as depression, anxiety, and PTSD. The Netflix documentary </w:t>
      </w:r>
      <w:r>
        <w:rPr>
          <w:rFonts w:ascii="Times New Roman" w:eastAsia="Times New Roman" w:hAnsi="Times New Roman" w:cs="Times New Roman"/>
          <w:i/>
          <w:sz w:val="24"/>
          <w:szCs w:val="24"/>
        </w:rPr>
        <w:t xml:space="preserve">Pray Away </w:t>
      </w:r>
      <w:r>
        <w:rPr>
          <w:rFonts w:ascii="Times New Roman" w:eastAsia="Times New Roman" w:hAnsi="Times New Roman" w:cs="Times New Roman"/>
          <w:sz w:val="24"/>
          <w:szCs w:val="24"/>
        </w:rPr>
        <w:t xml:space="preserve">provided </w:t>
      </w:r>
      <w:proofErr w:type="gramStart"/>
      <w:r>
        <w:rPr>
          <w:rFonts w:ascii="Times New Roman" w:eastAsia="Times New Roman" w:hAnsi="Times New Roman" w:cs="Times New Roman"/>
          <w:sz w:val="24"/>
          <w:szCs w:val="24"/>
        </w:rPr>
        <w:t>us</w:t>
      </w:r>
      <w:proofErr w:type="gramEnd"/>
      <w:r>
        <w:rPr>
          <w:rFonts w:ascii="Times New Roman" w:eastAsia="Times New Roman" w:hAnsi="Times New Roman" w:cs="Times New Roman"/>
          <w:sz w:val="24"/>
          <w:szCs w:val="24"/>
        </w:rPr>
        <w:t xml:space="preserve"> the opportunity to dive into the lives of those who promoted and endured this </w:t>
      </w:r>
      <w:r>
        <w:rPr>
          <w:rFonts w:ascii="Times New Roman" w:eastAsia="Times New Roman" w:hAnsi="Times New Roman" w:cs="Times New Roman"/>
          <w:sz w:val="24"/>
          <w:szCs w:val="24"/>
        </w:rPr>
        <w:lastRenderedPageBreak/>
        <w:t>practice, illustrating the emotional trauma it brings upon the individual. The former leaders of ‘exod</w:t>
      </w:r>
      <w:r w:rsidR="00035C8F">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s’ movement </w:t>
      </w:r>
      <w:r w:rsidR="00035C8F">
        <w:rPr>
          <w:rFonts w:ascii="Times New Roman" w:eastAsia="Times New Roman" w:hAnsi="Times New Roman" w:cs="Times New Roman"/>
          <w:sz w:val="24"/>
          <w:szCs w:val="24"/>
        </w:rPr>
        <w:t>alleged “</w:t>
      </w:r>
      <w:r>
        <w:rPr>
          <w:rFonts w:ascii="Times New Roman" w:eastAsia="Times New Roman" w:hAnsi="Times New Roman" w:cs="Times New Roman"/>
          <w:sz w:val="24"/>
          <w:szCs w:val="24"/>
        </w:rPr>
        <w:t>We had guys that actually attempt overdose, attempted suicide because they felt guilt that couldn’t change (17:10)”</w:t>
      </w:r>
      <w:r>
        <w:rPr>
          <w:rFonts w:ascii="Times New Roman" w:eastAsia="Times New Roman" w:hAnsi="Times New Roman" w:cs="Times New Roman"/>
          <w:sz w:val="24"/>
          <w:szCs w:val="24"/>
          <w:vertAlign w:val="superscript"/>
        </w:rPr>
        <w:footnoteReference w:id="3"/>
      </w:r>
      <w:r w:rsidR="00035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Conversion therapy isn't only a form of psychological violence that is rooted in societal and religious pressures. Through the lens of </w:t>
      </w:r>
      <w:r>
        <w:rPr>
          <w:rFonts w:ascii="Times New Roman" w:eastAsia="Times New Roman" w:hAnsi="Times New Roman" w:cs="Times New Roman"/>
          <w:i/>
          <w:sz w:val="24"/>
          <w:szCs w:val="24"/>
        </w:rPr>
        <w:t>Pray Away</w:t>
      </w:r>
      <w:r>
        <w:rPr>
          <w:rFonts w:ascii="Times New Roman" w:eastAsia="Times New Roman" w:hAnsi="Times New Roman" w:cs="Times New Roman"/>
          <w:sz w:val="24"/>
          <w:szCs w:val="24"/>
        </w:rPr>
        <w:t xml:space="preserve"> and journal articles, this paper will explore the therapy's harmful impacts in its attempt to enforce gender and sexual norms.</w:t>
      </w:r>
    </w:p>
    <w:p w14:paraId="00000014" w14:textId="1115AE34" w:rsidR="004533CA" w:rsidRDefault="00000000">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Discrimination against homosexuality in early psychological practices and research was </w:t>
      </w:r>
      <w:proofErr w:type="gramStart"/>
      <w:r>
        <w:rPr>
          <w:rFonts w:ascii="Times New Roman" w:eastAsia="Times New Roman" w:hAnsi="Times New Roman" w:cs="Times New Roman"/>
          <w:sz w:val="24"/>
          <w:szCs w:val="24"/>
        </w:rPr>
        <w:t>fairly common</w:t>
      </w:r>
      <w:proofErr w:type="gramEnd"/>
      <w:r>
        <w:rPr>
          <w:rFonts w:ascii="Times New Roman" w:eastAsia="Times New Roman" w:hAnsi="Times New Roman" w:cs="Times New Roman"/>
          <w:sz w:val="24"/>
          <w:szCs w:val="24"/>
        </w:rPr>
        <w:t xml:space="preserve"> in the early 1960s-1970s. The DSM (diagnostic and statistical manual of mental disorders) placed homosexuality as a personality </w:t>
      </w:r>
      <w:r w:rsidR="00035C8F">
        <w:rPr>
          <w:rFonts w:ascii="Times New Roman" w:eastAsia="Times New Roman" w:hAnsi="Times New Roman" w:cs="Times New Roman"/>
          <w:sz w:val="24"/>
          <w:szCs w:val="24"/>
        </w:rPr>
        <w:t>disorder</w:t>
      </w:r>
      <w:r>
        <w:rPr>
          <w:rFonts w:ascii="Times New Roman" w:eastAsia="Times New Roman" w:hAnsi="Times New Roman" w:cs="Times New Roman"/>
          <w:sz w:val="24"/>
          <w:szCs w:val="24"/>
        </w:rPr>
        <w:t xml:space="preserve"> and went as far as to say it was a sociopathic pattern. Homosexuality “</w:t>
      </w:r>
      <w:r>
        <w:rPr>
          <w:rFonts w:ascii="Times New Roman" w:eastAsia="Times New Roman" w:hAnsi="Times New Roman" w:cs="Times New Roman"/>
          <w:i/>
          <w:sz w:val="24"/>
          <w:szCs w:val="24"/>
        </w:rPr>
        <w:t>was classified in the main category of “‘personality pattern disturbance,’ then in the subcategory ‘sociopathic personality disturbance,’ and finally in a further subcategory ‘sexual deviation’”</w:t>
      </w:r>
      <w:r>
        <w:rPr>
          <w:rFonts w:ascii="Times New Roman" w:eastAsia="Times New Roman" w:hAnsi="Times New Roman" w:cs="Times New Roman"/>
          <w:i/>
          <w:sz w:val="24"/>
          <w:szCs w:val="24"/>
          <w:vertAlign w:val="superscript"/>
        </w:rPr>
        <w:footnoteReference w:id="4"/>
      </w:r>
      <w:r w:rsidR="00035C8F">
        <w:rPr>
          <w:rFonts w:ascii="Times New Roman" w:eastAsia="Times New Roman" w:hAnsi="Times New Roman" w:cs="Times New Roman"/>
          <w:iCs/>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As expected, this contributed to the stigmatization of the LGBTQ+ community in the medical field and to </w:t>
      </w:r>
      <w:proofErr w:type="gramStart"/>
      <w:r>
        <w:rPr>
          <w:rFonts w:ascii="Times New Roman" w:eastAsia="Times New Roman" w:hAnsi="Times New Roman" w:cs="Times New Roman"/>
          <w:sz w:val="24"/>
          <w:szCs w:val="24"/>
        </w:rPr>
        <w:t>society as a whole</w:t>
      </w:r>
      <w:proofErr w:type="gramEnd"/>
      <w:r>
        <w:rPr>
          <w:rFonts w:ascii="Times New Roman" w:eastAsia="Times New Roman" w:hAnsi="Times New Roman" w:cs="Times New Roman"/>
          <w:sz w:val="24"/>
          <w:szCs w:val="24"/>
        </w:rPr>
        <w:t xml:space="preserve">. As conversion therapy became more widespread, it became one of the most common methods for trying to repair homosexuality. Almost 700,000 LGBTQ individuals in the United States between the ages of 18 and 59 had received conversion therapy. The inclusion of homosexuality in the DSM reflected broader pressures to conform to heteronormative ideas and portrayed non-conforming communities as social and moral failures. These classifications further extended discrimination against LGBTQ+ individuals, causing psychological trauma to those who had to experience </w:t>
      </w:r>
      <w:r>
        <w:rPr>
          <w:rFonts w:ascii="Times New Roman" w:eastAsia="Times New Roman" w:hAnsi="Times New Roman" w:cs="Times New Roman"/>
          <w:sz w:val="24"/>
          <w:szCs w:val="24"/>
        </w:rPr>
        <w:lastRenderedPageBreak/>
        <w:t>these so-called “treatments.” It wasn’t until 1973 that the American Psychiatric Association (APA) stated that homosexuality wasn’t a mental disorder. Still, conversion therapy was already firmly established in medical and religious communities. Today, conversion therapy continues to thrive in religious and conservative contexts. Not until 2012 lawmakers attempted to put a stop to conversion therapy. California became the first state to prohibit mental health professionals from performing these therapy services, with other states following shortly after. Up to this date the</w:t>
      </w:r>
      <w:r w:rsidR="00035C8F">
        <w:rPr>
          <w:rFonts w:ascii="Times New Roman" w:eastAsia="Times New Roman" w:hAnsi="Times New Roman" w:cs="Times New Roman"/>
          <w:sz w:val="24"/>
          <w:szCs w:val="24"/>
        </w:rPr>
        <w:t>re</w:t>
      </w:r>
      <w:r>
        <w:rPr>
          <w:rFonts w:ascii="Times New Roman" w:eastAsia="Times New Roman" w:hAnsi="Times New Roman" w:cs="Times New Roman"/>
          <w:sz w:val="24"/>
          <w:szCs w:val="24"/>
        </w:rPr>
        <w:t xml:space="preserve"> are still states that permit this type of </w:t>
      </w:r>
      <w:r w:rsidR="00035C8F">
        <w:rPr>
          <w:rFonts w:ascii="Times New Roman" w:eastAsia="Times New Roman" w:hAnsi="Times New Roman" w:cs="Times New Roman"/>
          <w:sz w:val="24"/>
          <w:szCs w:val="24"/>
        </w:rPr>
        <w:t>practice</w:t>
      </w:r>
      <w:r>
        <w:rPr>
          <w:rFonts w:ascii="Times New Roman" w:eastAsia="Times New Roman" w:hAnsi="Times New Roman" w:cs="Times New Roman"/>
          <w:sz w:val="24"/>
          <w:szCs w:val="24"/>
        </w:rPr>
        <w:t xml:space="preserve"> if </w:t>
      </w:r>
      <w:r w:rsidR="00035C8F">
        <w:rPr>
          <w:rFonts w:ascii="Times New Roman" w:eastAsia="Times New Roman" w:hAnsi="Times New Roman" w:cs="Times New Roman"/>
          <w:sz w:val="24"/>
          <w:szCs w:val="24"/>
        </w:rPr>
        <w:t>it’s</w:t>
      </w:r>
      <w:r>
        <w:rPr>
          <w:rFonts w:ascii="Times New Roman" w:eastAsia="Times New Roman" w:hAnsi="Times New Roman" w:cs="Times New Roman"/>
          <w:sz w:val="24"/>
          <w:szCs w:val="24"/>
        </w:rPr>
        <w:t xml:space="preserve"> </w:t>
      </w:r>
      <w:r w:rsidR="00035C8F">
        <w:rPr>
          <w:rFonts w:ascii="Times New Roman" w:eastAsia="Times New Roman" w:hAnsi="Times New Roman" w:cs="Times New Roman"/>
          <w:sz w:val="24"/>
          <w:szCs w:val="24"/>
        </w:rPr>
        <w:t xml:space="preserve">from </w:t>
      </w:r>
      <w:r>
        <w:rPr>
          <w:rFonts w:ascii="Times New Roman" w:eastAsia="Times New Roman" w:hAnsi="Times New Roman" w:cs="Times New Roman"/>
          <w:sz w:val="24"/>
          <w:szCs w:val="24"/>
        </w:rPr>
        <w:t>a religious institution</w:t>
      </w:r>
    </w:p>
    <w:p w14:paraId="00000015" w14:textId="3302875E" w:rsidR="004533CA" w:rsidRDefault="00000000">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LGBTQ+ community faces many mental health challenges, including substance abuse, suicidal tendencies, anxiety, and depression. The journal article </w:t>
      </w:r>
      <w:r>
        <w:rPr>
          <w:rFonts w:ascii="Times New Roman" w:eastAsia="Times New Roman" w:hAnsi="Times New Roman" w:cs="Times New Roman"/>
          <w:i/>
          <w:sz w:val="24"/>
          <w:szCs w:val="24"/>
        </w:rPr>
        <w:t xml:space="preserve">Engaging Mental Health Service Providers to Recognize and Support Conversion Practice Survivors Through Their Journey to Recovery </w:t>
      </w:r>
      <w:r>
        <w:rPr>
          <w:rFonts w:ascii="Times New Roman" w:eastAsia="Times New Roman" w:hAnsi="Times New Roman" w:cs="Times New Roman"/>
          <w:sz w:val="24"/>
          <w:szCs w:val="24"/>
        </w:rPr>
        <w:t>explores the impact of conversion therapy on the psychology of survivors who experience complex trauma and post-traumatic stress. The severity of these consequences is heartbreaking, with alarmingly high numbers. For example, 27,323 individuals exposed to conversion therapy reported experiencing suicidal ideation. For instance, research conducted in 2023 found individuals that underwent conversion therapy are “2.29 times more likely to experience suicidal ideation”</w:t>
      </w:r>
      <w:r>
        <w:rPr>
          <w:rFonts w:ascii="Times New Roman" w:eastAsia="Times New Roman" w:hAnsi="Times New Roman" w:cs="Times New Roman"/>
          <w:sz w:val="24"/>
          <w:szCs w:val="24"/>
          <w:vertAlign w:val="superscript"/>
        </w:rPr>
        <w:footnoteReference w:id="5"/>
      </w:r>
      <w:r>
        <w:rPr>
          <w:rFonts w:ascii="Times New Roman" w:eastAsia="Times New Roman" w:hAnsi="Times New Roman" w:cs="Times New Roman"/>
          <w:sz w:val="24"/>
          <w:szCs w:val="24"/>
        </w:rPr>
        <w:t xml:space="preserve"> compared to those who were not exposed to such practices. Additionally, those exposed to conversion therapy are 2.47 times more likely to experience depression and 2.49 times more likely to experience anxiety.” This highlights the mental health toll of conversion therapy practices, which extend beyond immediate negative effects and deeply </w:t>
      </w:r>
      <w:r>
        <w:rPr>
          <w:rFonts w:ascii="Times New Roman" w:eastAsia="Times New Roman" w:hAnsi="Times New Roman" w:cs="Times New Roman"/>
          <w:sz w:val="24"/>
          <w:szCs w:val="24"/>
        </w:rPr>
        <w:lastRenderedPageBreak/>
        <w:t>influences a survivor’s sense of self, behavior, and identity. As the article notes, “Others of these are specific to those surviving conversion practices, including religious trauma, deep shame, and guilt about sexuality and gender identity.”</w:t>
      </w:r>
    </w:p>
    <w:p w14:paraId="00000016" w14:textId="24ED458D" w:rsidR="004533CA" w:rsidRDefault="00000000">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Conversion therapy reinforces harmful messages, telling individuals that their emotions and identities are inherently wrong. Internalized stigma manifests as self-hatred and low self-esteem. In the case of Julie Rodgers, as a poster child in the Exodus campaign, she speaks of feelings of anger and exploitation at a young age </w:t>
      </w:r>
      <w:r w:rsidR="00035C8F">
        <w:rPr>
          <w:rFonts w:ascii="Times New Roman" w:eastAsia="Times New Roman" w:hAnsi="Times New Roman" w:cs="Times New Roman"/>
          <w:sz w:val="24"/>
          <w:szCs w:val="24"/>
        </w:rPr>
        <w:t>because of</w:t>
      </w:r>
      <w:r>
        <w:rPr>
          <w:rFonts w:ascii="Times New Roman" w:eastAsia="Times New Roman" w:hAnsi="Times New Roman" w:cs="Times New Roman"/>
          <w:sz w:val="24"/>
          <w:szCs w:val="24"/>
        </w:rPr>
        <w:t xml:space="preserve"> the movement (46:01) </w:t>
      </w:r>
      <w:r>
        <w:rPr>
          <w:rFonts w:ascii="Times New Roman" w:eastAsia="Times New Roman" w:hAnsi="Times New Roman" w:cs="Times New Roman"/>
          <w:sz w:val="24"/>
          <w:szCs w:val="24"/>
          <w:vertAlign w:val="superscript"/>
        </w:rPr>
        <w:footnoteReference w:id="6"/>
      </w:r>
      <w:r>
        <w:rPr>
          <w:rFonts w:ascii="Times New Roman" w:eastAsia="Times New Roman" w:hAnsi="Times New Roman" w:cs="Times New Roman"/>
          <w:sz w:val="24"/>
          <w:szCs w:val="24"/>
        </w:rPr>
        <w:t xml:space="preserve"> The questioning of her identity</w:t>
      </w:r>
      <w:r w:rsidR="00035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through conversion therapy</w:t>
      </w:r>
      <w:r w:rsidR="00035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led her to isolation and long-term confusion. The ex-gay movement played a big role in promoting conversion therapy by advocating that LGBTQ+ individuals could change their orientation with counseling and </w:t>
      </w:r>
      <w:r w:rsidR="00035C8F">
        <w:rPr>
          <w:rFonts w:ascii="Times New Roman" w:eastAsia="Times New Roman" w:hAnsi="Times New Roman" w:cs="Times New Roman"/>
          <w:sz w:val="24"/>
          <w:szCs w:val="24"/>
        </w:rPr>
        <w:t>faith</w:t>
      </w:r>
      <w:r>
        <w:rPr>
          <w:rFonts w:ascii="Times New Roman" w:eastAsia="Times New Roman" w:hAnsi="Times New Roman" w:cs="Times New Roman"/>
          <w:sz w:val="24"/>
          <w:szCs w:val="24"/>
        </w:rPr>
        <w:t>. The effects of conversion therapy are multifaceted, harming survivors' mental health, distorting their sense of identity, and altering their behavior in a harmful manner.</w:t>
      </w:r>
    </w:p>
    <w:p w14:paraId="00000017" w14:textId="049CC3E7" w:rsidR="004533CA" w:rsidRDefault="00000000">
      <w:pPr>
        <w:spacing w:after="16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Religious and societal institutions have played a big part in spreading conversion therapy practices by promoting LGBTQ+ identities as sinful and that they can be “cured” through spiritual means. As depicted in</w:t>
      </w:r>
      <w:r>
        <w:rPr>
          <w:rFonts w:ascii="Times New Roman" w:eastAsia="Times New Roman" w:hAnsi="Times New Roman" w:cs="Times New Roman"/>
          <w:i/>
          <w:sz w:val="24"/>
          <w:szCs w:val="24"/>
        </w:rPr>
        <w:t xml:space="preserve"> Pray Away</w:t>
      </w:r>
      <w:r>
        <w:rPr>
          <w:rFonts w:ascii="Times New Roman" w:eastAsia="Times New Roman" w:hAnsi="Times New Roman" w:cs="Times New Roman"/>
          <w:sz w:val="24"/>
          <w:szCs w:val="24"/>
        </w:rPr>
        <w:t>, one leader said “We are doing what we thought God wanted us to do... If you don’t want to be gay there is a way out”</w:t>
      </w:r>
      <w:r>
        <w:rPr>
          <w:rFonts w:ascii="Times New Roman" w:eastAsia="Times New Roman" w:hAnsi="Times New Roman" w:cs="Times New Roman"/>
          <w:sz w:val="24"/>
          <w:szCs w:val="24"/>
          <w:vertAlign w:val="superscript"/>
        </w:rPr>
        <w:footnoteReference w:id="7"/>
      </w:r>
      <w:r w:rsidR="00035C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These institutions tend to provide </w:t>
      </w:r>
      <w:proofErr w:type="gramStart"/>
      <w:r>
        <w:rPr>
          <w:rFonts w:ascii="Times New Roman" w:eastAsia="Times New Roman" w:hAnsi="Times New Roman" w:cs="Times New Roman"/>
          <w:sz w:val="24"/>
          <w:szCs w:val="24"/>
        </w:rPr>
        <w:t>these structured</w:t>
      </w:r>
      <w:proofErr w:type="gramEnd"/>
      <w:r>
        <w:rPr>
          <w:rFonts w:ascii="Times New Roman" w:eastAsia="Times New Roman" w:hAnsi="Times New Roman" w:cs="Times New Roman"/>
          <w:sz w:val="24"/>
          <w:szCs w:val="24"/>
        </w:rPr>
        <w:t xml:space="preserve"> environments that equate compliance with salvation or other positive heteronormative ideals. This religious story pushes people to feel </w:t>
      </w:r>
      <w:r w:rsidR="00035C8F">
        <w:rPr>
          <w:rFonts w:ascii="Times New Roman" w:eastAsia="Times New Roman" w:hAnsi="Times New Roman" w:cs="Times New Roman"/>
          <w:sz w:val="24"/>
          <w:szCs w:val="24"/>
        </w:rPr>
        <w:t>guilty</w:t>
      </w:r>
      <w:r>
        <w:rPr>
          <w:rFonts w:ascii="Times New Roman" w:eastAsia="Times New Roman" w:hAnsi="Times New Roman" w:cs="Times New Roman"/>
          <w:sz w:val="24"/>
          <w:szCs w:val="24"/>
        </w:rPr>
        <w:t xml:space="preserve"> when they inevitably fail to change their orientation. The promise of redemption of these programs causes people to have lasting trauma</w:t>
      </w:r>
      <w:r>
        <w:rPr>
          <w:rFonts w:ascii="Times New Roman" w:eastAsia="Times New Roman" w:hAnsi="Times New Roman" w:cs="Times New Roman"/>
          <w:sz w:val="24"/>
          <w:szCs w:val="24"/>
          <w:vertAlign w:val="superscript"/>
        </w:rPr>
        <w:footnoteReference w:id="8"/>
      </w:r>
      <w:r>
        <w:rPr>
          <w:rFonts w:ascii="Times New Roman" w:eastAsia="Times New Roman" w:hAnsi="Times New Roman" w:cs="Times New Roman"/>
          <w:sz w:val="24"/>
          <w:szCs w:val="24"/>
        </w:rPr>
        <w:t xml:space="preserve"> and suicidal ideation. Conversion therapy is not only influenced by religious </w:t>
      </w:r>
      <w:r>
        <w:rPr>
          <w:rFonts w:ascii="Times New Roman" w:eastAsia="Times New Roman" w:hAnsi="Times New Roman" w:cs="Times New Roman"/>
          <w:sz w:val="24"/>
          <w:szCs w:val="24"/>
        </w:rPr>
        <w:lastRenderedPageBreak/>
        <w:t xml:space="preserve">conventions but also reinforced by societal norms that view heterosexuality as the only way to be “normal.” The documentary </w:t>
      </w:r>
      <w:r>
        <w:rPr>
          <w:rFonts w:ascii="Times New Roman" w:eastAsia="Times New Roman" w:hAnsi="Times New Roman" w:cs="Times New Roman"/>
          <w:i/>
          <w:sz w:val="24"/>
          <w:szCs w:val="24"/>
        </w:rPr>
        <w:t>Pray Away</w:t>
      </w:r>
      <w:r>
        <w:rPr>
          <w:rFonts w:ascii="Times New Roman" w:eastAsia="Times New Roman" w:hAnsi="Times New Roman" w:cs="Times New Roman"/>
          <w:sz w:val="24"/>
          <w:szCs w:val="24"/>
        </w:rPr>
        <w:t xml:space="preserve"> showed how societal structures align with religious efforts, portraying homosexuality as a condition to be cured: “We Believed homosexuality was a psychological illness that needed treatment (15:23)</w:t>
      </w:r>
      <w:r>
        <w:rPr>
          <w:rFonts w:ascii="Times New Roman" w:eastAsia="Times New Roman" w:hAnsi="Times New Roman" w:cs="Times New Roman"/>
          <w:sz w:val="24"/>
          <w:szCs w:val="24"/>
          <w:vertAlign w:val="superscript"/>
        </w:rPr>
        <w:footnoteReference w:id="9"/>
      </w:r>
      <w:r w:rsidR="00035C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People who underwent the program often internalize many of the mantras that could lead to long-term psychological harm. Despite awareness and legal movements to ban conversion therapy, many conservative communities try to push traditional gender roles. As </w:t>
      </w:r>
      <w:r>
        <w:rPr>
          <w:rFonts w:ascii="Times New Roman" w:eastAsia="Times New Roman" w:hAnsi="Times New Roman" w:cs="Times New Roman"/>
          <w:i/>
          <w:sz w:val="24"/>
          <w:szCs w:val="24"/>
        </w:rPr>
        <w:t>Pray Away</w:t>
      </w:r>
      <w:r>
        <w:rPr>
          <w:rFonts w:ascii="Times New Roman" w:eastAsia="Times New Roman" w:hAnsi="Times New Roman" w:cs="Times New Roman"/>
          <w:sz w:val="24"/>
          <w:szCs w:val="24"/>
        </w:rPr>
        <w:t xml:space="preserve"> demonstrated, there needs to be advocacy against the religious and societal pressures that not only make individuals feel alone but also perpetuate lasting cycles of mental health challenges caused by conversion therapy like </w:t>
      </w:r>
      <w:proofErr w:type="spellStart"/>
      <w:r>
        <w:rPr>
          <w:rFonts w:ascii="Times New Roman" w:eastAsia="Times New Roman" w:hAnsi="Times New Roman" w:cs="Times New Roman"/>
          <w:sz w:val="24"/>
          <w:szCs w:val="24"/>
        </w:rPr>
        <w:t>Micahel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Busee</w:t>
      </w:r>
      <w:proofErr w:type="spellEnd"/>
      <w:r w:rsidR="00035C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one of the founders of Exodus International</w:t>
      </w:r>
      <w:r w:rsidR="00035C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many of the survivors.</w:t>
      </w:r>
    </w:p>
    <w:p w14:paraId="00000018" w14:textId="11596207" w:rsidR="004533CA" w:rsidRDefault="00000000">
      <w:pPr>
        <w:spacing w:after="160" w:line="480" w:lineRule="auto"/>
        <w:ind w:firstLine="720"/>
        <w:rPr>
          <w:rFonts w:ascii="Times New Roman" w:eastAsia="Times New Roman" w:hAnsi="Times New Roman" w:cs="Times New Roman"/>
        </w:rPr>
      </w:pPr>
      <w:r>
        <w:rPr>
          <w:rFonts w:ascii="Times New Roman" w:eastAsia="Times New Roman" w:hAnsi="Times New Roman" w:cs="Times New Roman"/>
          <w:sz w:val="24"/>
          <w:szCs w:val="24"/>
        </w:rPr>
        <w:t xml:space="preserve">Conversion therapy represents a form of psychological violence that is deeply rooted in societal and religious norms. As explored in many research papers or documentaries like </w:t>
      </w:r>
      <w:r>
        <w:rPr>
          <w:rFonts w:ascii="Times New Roman" w:eastAsia="Times New Roman" w:hAnsi="Times New Roman" w:cs="Times New Roman"/>
          <w:i/>
          <w:sz w:val="24"/>
          <w:szCs w:val="24"/>
        </w:rPr>
        <w:t>Pray Away</w:t>
      </w:r>
      <w:r>
        <w:rPr>
          <w:rFonts w:ascii="Times New Roman" w:eastAsia="Times New Roman" w:hAnsi="Times New Roman" w:cs="Times New Roman"/>
          <w:sz w:val="24"/>
          <w:szCs w:val="24"/>
        </w:rPr>
        <w:t xml:space="preserve">, this “therapy” leaves survivors with profound emotional and mental health challenges, despite being discredited by medical and psychological frameworks, the use of conversion therapy continues to have a lingering impact on the stigmatization of LGBTQ communities. The documentary </w:t>
      </w:r>
      <w:r>
        <w:rPr>
          <w:rFonts w:ascii="Times New Roman" w:eastAsia="Times New Roman" w:hAnsi="Times New Roman" w:cs="Times New Roman"/>
          <w:i/>
          <w:sz w:val="24"/>
          <w:szCs w:val="24"/>
        </w:rPr>
        <w:t xml:space="preserve">Pray Away </w:t>
      </w:r>
      <w:r>
        <w:rPr>
          <w:rFonts w:ascii="Times New Roman" w:eastAsia="Times New Roman" w:hAnsi="Times New Roman" w:cs="Times New Roman"/>
          <w:sz w:val="24"/>
          <w:szCs w:val="24"/>
        </w:rPr>
        <w:t xml:space="preserve">highlights not only trauma for those who survived these practices but also the systematic forces that continue to push such practices. Legal bans and advocacy groups like the American Civil Liberties Union (ACLU) maintain their efforts to protect people in the future from these violent practices. Groups like the American civil liberties union continue to try to fully ban these practices to ensure the abuse stops. The film also conveys how societal and religious institutions continue to push for shaping gender and sexual expectations into what they </w:t>
      </w:r>
      <w:r>
        <w:rPr>
          <w:rFonts w:ascii="Times New Roman" w:eastAsia="Times New Roman" w:hAnsi="Times New Roman" w:cs="Times New Roman"/>
          <w:sz w:val="24"/>
          <w:szCs w:val="24"/>
        </w:rPr>
        <w:lastRenderedPageBreak/>
        <w:t>consider the norm is. This paper underscores the need for continued support and even mental health assistance for survivors. Conversion therapy shows the risks and dangers of imposing “sexual norms” and the need for reform to prevent and ban these practices. Only by challenging these harmful conventions can society progress to conventions that allow for freedom of expression and the ability for people to be their true selves.</w:t>
      </w:r>
    </w:p>
    <w:p w14:paraId="00000019" w14:textId="77777777" w:rsidR="004533CA" w:rsidRDefault="004533CA">
      <w:pPr>
        <w:spacing w:after="160" w:line="303" w:lineRule="auto"/>
        <w:rPr>
          <w:sz w:val="16"/>
          <w:szCs w:val="16"/>
        </w:rPr>
      </w:pPr>
    </w:p>
    <w:p w14:paraId="0000001A" w14:textId="77777777" w:rsidR="004533CA" w:rsidRDefault="004533CA">
      <w:pPr>
        <w:spacing w:before="240" w:after="240"/>
        <w:ind w:left="580" w:hanging="20"/>
        <w:rPr>
          <w:rFonts w:ascii="Times New Roman" w:eastAsia="Times New Roman" w:hAnsi="Times New Roman" w:cs="Times New Roman"/>
          <w:sz w:val="20"/>
          <w:szCs w:val="20"/>
        </w:rPr>
      </w:pPr>
    </w:p>
    <w:p w14:paraId="0000001B" w14:textId="77777777" w:rsidR="004533CA" w:rsidRDefault="004533CA">
      <w:pPr>
        <w:spacing w:before="240" w:after="240"/>
        <w:ind w:left="580" w:hanging="20"/>
        <w:rPr>
          <w:rFonts w:ascii="Times New Roman" w:eastAsia="Times New Roman" w:hAnsi="Times New Roman" w:cs="Times New Roman"/>
          <w:sz w:val="20"/>
          <w:szCs w:val="20"/>
        </w:rPr>
      </w:pPr>
    </w:p>
    <w:p w14:paraId="0000001C" w14:textId="77777777" w:rsidR="004533CA" w:rsidRDefault="004533CA">
      <w:pPr>
        <w:spacing w:before="240" w:after="240"/>
        <w:ind w:left="580" w:hanging="20"/>
        <w:rPr>
          <w:rFonts w:ascii="Times New Roman" w:eastAsia="Times New Roman" w:hAnsi="Times New Roman" w:cs="Times New Roman"/>
          <w:sz w:val="20"/>
          <w:szCs w:val="20"/>
        </w:rPr>
      </w:pPr>
    </w:p>
    <w:p w14:paraId="0000001D" w14:textId="77777777" w:rsidR="004533CA" w:rsidRDefault="004533CA">
      <w:pPr>
        <w:spacing w:before="240" w:after="240"/>
        <w:ind w:left="580" w:hanging="20"/>
        <w:rPr>
          <w:rFonts w:ascii="Times New Roman" w:eastAsia="Times New Roman" w:hAnsi="Times New Roman" w:cs="Times New Roman"/>
          <w:sz w:val="20"/>
          <w:szCs w:val="20"/>
        </w:rPr>
      </w:pPr>
    </w:p>
    <w:p w14:paraId="0000001E" w14:textId="77777777" w:rsidR="004533CA" w:rsidRDefault="004533CA">
      <w:pPr>
        <w:spacing w:before="240" w:after="240"/>
        <w:ind w:left="580" w:hanging="20"/>
        <w:rPr>
          <w:rFonts w:ascii="Times New Roman" w:eastAsia="Times New Roman" w:hAnsi="Times New Roman" w:cs="Times New Roman"/>
          <w:sz w:val="20"/>
          <w:szCs w:val="20"/>
        </w:rPr>
      </w:pPr>
    </w:p>
    <w:p w14:paraId="0000001F" w14:textId="77777777" w:rsidR="004533CA" w:rsidRDefault="004533CA">
      <w:pPr>
        <w:spacing w:before="240" w:after="240"/>
        <w:ind w:left="580" w:hanging="20"/>
        <w:rPr>
          <w:rFonts w:ascii="Times New Roman" w:eastAsia="Times New Roman" w:hAnsi="Times New Roman" w:cs="Times New Roman"/>
          <w:sz w:val="20"/>
          <w:szCs w:val="20"/>
        </w:rPr>
      </w:pPr>
    </w:p>
    <w:p w14:paraId="00000020" w14:textId="77777777" w:rsidR="004533CA" w:rsidRDefault="004533CA">
      <w:pPr>
        <w:spacing w:before="240" w:after="240"/>
        <w:ind w:left="580" w:hanging="20"/>
        <w:rPr>
          <w:rFonts w:ascii="Times New Roman" w:eastAsia="Times New Roman" w:hAnsi="Times New Roman" w:cs="Times New Roman"/>
          <w:sz w:val="20"/>
          <w:szCs w:val="20"/>
        </w:rPr>
      </w:pPr>
    </w:p>
    <w:p w14:paraId="00000021" w14:textId="77777777" w:rsidR="004533CA" w:rsidRDefault="004533CA">
      <w:pPr>
        <w:spacing w:before="240" w:after="240"/>
        <w:ind w:left="580" w:hanging="20"/>
        <w:rPr>
          <w:rFonts w:ascii="Times New Roman" w:eastAsia="Times New Roman" w:hAnsi="Times New Roman" w:cs="Times New Roman"/>
          <w:sz w:val="20"/>
          <w:szCs w:val="20"/>
        </w:rPr>
      </w:pPr>
    </w:p>
    <w:p w14:paraId="00000022" w14:textId="77777777" w:rsidR="004533CA" w:rsidRDefault="004533CA">
      <w:pPr>
        <w:spacing w:before="240" w:after="240"/>
        <w:ind w:left="580" w:hanging="20"/>
        <w:rPr>
          <w:rFonts w:ascii="Times New Roman" w:eastAsia="Times New Roman" w:hAnsi="Times New Roman" w:cs="Times New Roman"/>
          <w:sz w:val="20"/>
          <w:szCs w:val="20"/>
        </w:rPr>
      </w:pPr>
    </w:p>
    <w:p w14:paraId="00000023" w14:textId="77777777" w:rsidR="004533CA" w:rsidRDefault="004533CA">
      <w:pPr>
        <w:spacing w:before="240" w:after="240"/>
        <w:ind w:left="580" w:hanging="20"/>
        <w:rPr>
          <w:rFonts w:ascii="Times New Roman" w:eastAsia="Times New Roman" w:hAnsi="Times New Roman" w:cs="Times New Roman"/>
          <w:sz w:val="20"/>
          <w:szCs w:val="20"/>
        </w:rPr>
      </w:pPr>
    </w:p>
    <w:p w14:paraId="00000024" w14:textId="77777777" w:rsidR="004533CA" w:rsidRDefault="004533CA">
      <w:pPr>
        <w:spacing w:before="240" w:after="240"/>
        <w:ind w:left="580" w:hanging="20"/>
        <w:rPr>
          <w:rFonts w:ascii="Times New Roman" w:eastAsia="Times New Roman" w:hAnsi="Times New Roman" w:cs="Times New Roman"/>
          <w:sz w:val="20"/>
          <w:szCs w:val="20"/>
        </w:rPr>
      </w:pPr>
    </w:p>
    <w:p w14:paraId="00000025" w14:textId="77777777" w:rsidR="004533CA" w:rsidRDefault="004533CA">
      <w:pPr>
        <w:spacing w:before="240" w:after="240"/>
        <w:ind w:left="580" w:hanging="20"/>
        <w:rPr>
          <w:rFonts w:ascii="Times New Roman" w:eastAsia="Times New Roman" w:hAnsi="Times New Roman" w:cs="Times New Roman"/>
          <w:sz w:val="20"/>
          <w:szCs w:val="20"/>
        </w:rPr>
      </w:pPr>
    </w:p>
    <w:p w14:paraId="00000026" w14:textId="77777777" w:rsidR="004533CA" w:rsidRDefault="004533CA">
      <w:pPr>
        <w:spacing w:before="240" w:after="240"/>
        <w:ind w:left="580" w:hanging="20"/>
        <w:rPr>
          <w:rFonts w:ascii="Times New Roman" w:eastAsia="Times New Roman" w:hAnsi="Times New Roman" w:cs="Times New Roman"/>
          <w:sz w:val="20"/>
          <w:szCs w:val="20"/>
        </w:rPr>
      </w:pPr>
    </w:p>
    <w:p w14:paraId="00000027" w14:textId="77777777" w:rsidR="004533CA" w:rsidRDefault="004533CA">
      <w:pPr>
        <w:spacing w:before="240" w:after="240"/>
        <w:ind w:left="580" w:hanging="20"/>
        <w:rPr>
          <w:rFonts w:ascii="Times New Roman" w:eastAsia="Times New Roman" w:hAnsi="Times New Roman" w:cs="Times New Roman"/>
          <w:sz w:val="20"/>
          <w:szCs w:val="20"/>
        </w:rPr>
      </w:pPr>
    </w:p>
    <w:p w14:paraId="00000028" w14:textId="77777777" w:rsidR="004533CA" w:rsidRDefault="004533CA">
      <w:pPr>
        <w:spacing w:before="240" w:after="240"/>
        <w:ind w:left="580" w:hanging="20"/>
        <w:rPr>
          <w:rFonts w:ascii="Times New Roman" w:eastAsia="Times New Roman" w:hAnsi="Times New Roman" w:cs="Times New Roman"/>
          <w:sz w:val="20"/>
          <w:szCs w:val="20"/>
        </w:rPr>
      </w:pPr>
    </w:p>
    <w:p w14:paraId="00000029" w14:textId="77777777" w:rsidR="004533CA" w:rsidRDefault="004533CA">
      <w:pPr>
        <w:spacing w:before="240" w:after="240"/>
        <w:ind w:left="580" w:hanging="20"/>
        <w:rPr>
          <w:rFonts w:ascii="Times New Roman" w:eastAsia="Times New Roman" w:hAnsi="Times New Roman" w:cs="Times New Roman"/>
          <w:sz w:val="20"/>
          <w:szCs w:val="20"/>
        </w:rPr>
      </w:pPr>
    </w:p>
    <w:p w14:paraId="0000002A" w14:textId="77777777" w:rsidR="004533CA" w:rsidRDefault="004533CA">
      <w:pPr>
        <w:spacing w:before="240" w:after="240"/>
        <w:ind w:left="580" w:hanging="20"/>
        <w:rPr>
          <w:rFonts w:ascii="Times New Roman" w:eastAsia="Times New Roman" w:hAnsi="Times New Roman" w:cs="Times New Roman"/>
          <w:sz w:val="20"/>
          <w:szCs w:val="20"/>
        </w:rPr>
      </w:pPr>
    </w:p>
    <w:p w14:paraId="0000002B" w14:textId="77777777" w:rsidR="004533CA" w:rsidRDefault="004533CA">
      <w:pPr>
        <w:spacing w:before="240" w:after="240"/>
        <w:ind w:left="580" w:hanging="20"/>
        <w:rPr>
          <w:rFonts w:ascii="Times New Roman" w:eastAsia="Times New Roman" w:hAnsi="Times New Roman" w:cs="Times New Roman"/>
          <w:sz w:val="20"/>
          <w:szCs w:val="20"/>
        </w:rPr>
      </w:pPr>
    </w:p>
    <w:p w14:paraId="0000002C" w14:textId="77777777" w:rsidR="004533CA" w:rsidRDefault="004533CA">
      <w:pPr>
        <w:spacing w:before="240" w:after="240"/>
        <w:ind w:left="580" w:hanging="20"/>
        <w:rPr>
          <w:rFonts w:ascii="Times New Roman" w:eastAsia="Times New Roman" w:hAnsi="Times New Roman" w:cs="Times New Roman"/>
          <w:sz w:val="20"/>
          <w:szCs w:val="20"/>
        </w:rPr>
      </w:pPr>
    </w:p>
    <w:p w14:paraId="0000002F" w14:textId="77777777" w:rsidR="004533CA" w:rsidRPr="00393A3D" w:rsidRDefault="00000000" w:rsidP="00393A3D">
      <w:pPr>
        <w:pStyle w:val="Heading2"/>
        <w:rPr>
          <w:rFonts w:ascii="Times New Roman" w:hAnsi="Times New Roman" w:cs="Times New Roman"/>
          <w:sz w:val="24"/>
          <w:szCs w:val="24"/>
        </w:rPr>
      </w:pPr>
      <w:r w:rsidRPr="00393A3D">
        <w:rPr>
          <w:rFonts w:ascii="Times New Roman" w:hAnsi="Times New Roman" w:cs="Times New Roman"/>
          <w:sz w:val="24"/>
          <w:szCs w:val="24"/>
        </w:rPr>
        <w:lastRenderedPageBreak/>
        <w:t xml:space="preserve">Bibliography: </w:t>
      </w:r>
    </w:p>
    <w:p w14:paraId="00000030" w14:textId="77777777" w:rsidR="004533CA" w:rsidRPr="00393A3D" w:rsidRDefault="00000000">
      <w:pPr>
        <w:spacing w:before="240" w:after="240"/>
        <w:ind w:left="580" w:hanging="20"/>
        <w:rPr>
          <w:rFonts w:ascii="Times New Roman" w:eastAsia="Times New Roman" w:hAnsi="Times New Roman" w:cs="Times New Roman"/>
          <w:sz w:val="24"/>
          <w:szCs w:val="24"/>
        </w:rPr>
      </w:pPr>
      <w:r w:rsidRPr="00393A3D">
        <w:rPr>
          <w:rFonts w:ascii="Times New Roman" w:eastAsia="Times New Roman" w:hAnsi="Times New Roman" w:cs="Times New Roman"/>
          <w:sz w:val="24"/>
          <w:szCs w:val="24"/>
        </w:rPr>
        <w:t>Anderson, Joel R., Timothy W. Jones, Jennifer Power, Tiffany M. Jones, Nathan Despott, Maria Pallotta-</w:t>
      </w:r>
      <w:proofErr w:type="spellStart"/>
      <w:r w:rsidRPr="00393A3D">
        <w:rPr>
          <w:rFonts w:ascii="Times New Roman" w:eastAsia="Times New Roman" w:hAnsi="Times New Roman" w:cs="Times New Roman"/>
          <w:sz w:val="24"/>
          <w:szCs w:val="24"/>
        </w:rPr>
        <w:t>Chiarolli</w:t>
      </w:r>
      <w:proofErr w:type="spellEnd"/>
      <w:r w:rsidRPr="00393A3D">
        <w:rPr>
          <w:rFonts w:ascii="Times New Roman" w:eastAsia="Times New Roman" w:hAnsi="Times New Roman" w:cs="Times New Roman"/>
          <w:sz w:val="24"/>
          <w:szCs w:val="24"/>
        </w:rPr>
        <w:t xml:space="preserve">, and Percy Gurtler. “Engaging Mental Health Service Providers to Recognize and Support Conversion Practice Survivors through Their Journey to Recovery.” </w:t>
      </w:r>
      <w:r w:rsidRPr="00393A3D">
        <w:rPr>
          <w:rFonts w:ascii="Times New Roman" w:eastAsia="Times New Roman" w:hAnsi="Times New Roman" w:cs="Times New Roman"/>
          <w:i/>
          <w:sz w:val="24"/>
          <w:szCs w:val="24"/>
        </w:rPr>
        <w:t>Cognitive and Behavioral Practice</w:t>
      </w:r>
      <w:r w:rsidRPr="00393A3D">
        <w:rPr>
          <w:rFonts w:ascii="Times New Roman" w:eastAsia="Times New Roman" w:hAnsi="Times New Roman" w:cs="Times New Roman"/>
          <w:sz w:val="24"/>
          <w:szCs w:val="24"/>
        </w:rPr>
        <w:t xml:space="preserve"> 31, no. 1 (February 2024): 20–25. https://doi.org/10.1016/j.cbpra.2023.08.005.</w:t>
      </w:r>
    </w:p>
    <w:p w14:paraId="00000031" w14:textId="77777777" w:rsidR="004533CA" w:rsidRPr="00393A3D" w:rsidRDefault="00000000">
      <w:pPr>
        <w:spacing w:before="240" w:after="240"/>
        <w:ind w:left="580" w:hanging="20"/>
        <w:rPr>
          <w:rFonts w:ascii="Times New Roman" w:eastAsia="Times New Roman" w:hAnsi="Times New Roman" w:cs="Times New Roman"/>
          <w:sz w:val="24"/>
          <w:szCs w:val="24"/>
        </w:rPr>
      </w:pPr>
      <w:r w:rsidRPr="00393A3D">
        <w:rPr>
          <w:rFonts w:ascii="Times New Roman" w:eastAsia="Times New Roman" w:hAnsi="Times New Roman" w:cs="Times New Roman"/>
          <w:sz w:val="24"/>
          <w:szCs w:val="24"/>
        </w:rPr>
        <w:t xml:space="preserve">Davison, Gerald C., and Kyla-Rose Walden. “History and Iatrogenic Effects of Conversion Therapy.” </w:t>
      </w:r>
      <w:r w:rsidRPr="00393A3D">
        <w:rPr>
          <w:rFonts w:ascii="Times New Roman" w:eastAsia="Times New Roman" w:hAnsi="Times New Roman" w:cs="Times New Roman"/>
          <w:i/>
          <w:sz w:val="24"/>
          <w:szCs w:val="24"/>
        </w:rPr>
        <w:t>Annual Review of Clinical Psychology</w:t>
      </w:r>
      <w:r w:rsidRPr="00393A3D">
        <w:rPr>
          <w:rFonts w:ascii="Times New Roman" w:eastAsia="Times New Roman" w:hAnsi="Times New Roman" w:cs="Times New Roman"/>
          <w:sz w:val="24"/>
          <w:szCs w:val="24"/>
        </w:rPr>
        <w:t xml:space="preserve"> 20, no. 1 (July 12, 2024): 333–54. https://doi.org/10.1146/annurev-clinpsy-080822-052144.</w:t>
      </w:r>
    </w:p>
    <w:p w14:paraId="00000032" w14:textId="77777777" w:rsidR="004533CA" w:rsidRPr="00393A3D" w:rsidRDefault="00000000">
      <w:pPr>
        <w:spacing w:before="240" w:after="240"/>
        <w:ind w:left="580" w:hanging="20"/>
        <w:rPr>
          <w:rFonts w:ascii="Times New Roman" w:eastAsia="Times New Roman" w:hAnsi="Times New Roman" w:cs="Times New Roman"/>
          <w:sz w:val="24"/>
          <w:szCs w:val="24"/>
        </w:rPr>
      </w:pPr>
      <w:r w:rsidRPr="00393A3D">
        <w:rPr>
          <w:rFonts w:ascii="Times New Roman" w:eastAsia="Times New Roman" w:hAnsi="Times New Roman" w:cs="Times New Roman"/>
          <w:sz w:val="24"/>
          <w:szCs w:val="24"/>
        </w:rPr>
        <w:t xml:space="preserve">Graham, </w:t>
      </w:r>
      <w:proofErr w:type="gramStart"/>
      <w:r w:rsidRPr="00393A3D">
        <w:rPr>
          <w:rFonts w:ascii="Times New Roman" w:eastAsia="Times New Roman" w:hAnsi="Times New Roman" w:cs="Times New Roman"/>
          <w:sz w:val="24"/>
          <w:szCs w:val="24"/>
        </w:rPr>
        <w:t>Tiffany  C.</w:t>
      </w:r>
      <w:proofErr w:type="gramEnd"/>
      <w:r w:rsidRPr="00393A3D">
        <w:rPr>
          <w:rFonts w:ascii="Times New Roman" w:eastAsia="Times New Roman" w:hAnsi="Times New Roman" w:cs="Times New Roman"/>
          <w:sz w:val="24"/>
          <w:szCs w:val="24"/>
        </w:rPr>
        <w:t xml:space="preserve"> “CONVERSION THERAPY: A BRIEF REFLECTION ON THE HISTORY OF THE PRACTICE AND CONTEMPORARY REGULATORY EFFORTS.” </w:t>
      </w:r>
      <w:r w:rsidRPr="00393A3D">
        <w:rPr>
          <w:rFonts w:ascii="Times New Roman" w:eastAsia="Times New Roman" w:hAnsi="Times New Roman" w:cs="Times New Roman"/>
          <w:i/>
          <w:sz w:val="24"/>
          <w:szCs w:val="24"/>
        </w:rPr>
        <w:t xml:space="preserve">Creighton Law Review </w:t>
      </w:r>
      <w:r w:rsidRPr="00393A3D">
        <w:rPr>
          <w:rFonts w:ascii="Times New Roman" w:eastAsia="Times New Roman" w:hAnsi="Times New Roman" w:cs="Times New Roman"/>
          <w:sz w:val="24"/>
          <w:szCs w:val="24"/>
        </w:rPr>
        <w:t xml:space="preserve">52, no. 4 (2019): 419–26. </w:t>
      </w:r>
    </w:p>
    <w:p w14:paraId="00000033" w14:textId="77777777" w:rsidR="004533CA" w:rsidRPr="00393A3D" w:rsidRDefault="00000000">
      <w:pPr>
        <w:spacing w:before="240" w:after="240"/>
        <w:ind w:left="580" w:hanging="20"/>
        <w:rPr>
          <w:rFonts w:ascii="Times New Roman" w:eastAsia="Times New Roman" w:hAnsi="Times New Roman" w:cs="Times New Roman"/>
          <w:sz w:val="24"/>
          <w:szCs w:val="24"/>
        </w:rPr>
      </w:pPr>
      <w:r w:rsidRPr="00393A3D">
        <w:rPr>
          <w:rFonts w:ascii="Times New Roman" w:eastAsia="Times New Roman" w:hAnsi="Times New Roman" w:cs="Times New Roman"/>
          <w:i/>
          <w:sz w:val="24"/>
          <w:szCs w:val="24"/>
        </w:rPr>
        <w:t>Pray Away</w:t>
      </w:r>
      <w:r w:rsidRPr="00393A3D">
        <w:rPr>
          <w:rFonts w:ascii="Times New Roman" w:eastAsia="Times New Roman" w:hAnsi="Times New Roman" w:cs="Times New Roman"/>
          <w:sz w:val="24"/>
          <w:szCs w:val="24"/>
        </w:rPr>
        <w:t xml:space="preserve">. </w:t>
      </w:r>
      <w:proofErr w:type="spellStart"/>
      <w:proofErr w:type="gramStart"/>
      <w:r w:rsidRPr="00393A3D">
        <w:rPr>
          <w:rFonts w:ascii="Times New Roman" w:eastAsia="Times New Roman" w:hAnsi="Times New Roman" w:cs="Times New Roman"/>
          <w:i/>
          <w:sz w:val="24"/>
          <w:szCs w:val="24"/>
        </w:rPr>
        <w:t>Netflix:Pray</w:t>
      </w:r>
      <w:proofErr w:type="spellEnd"/>
      <w:proofErr w:type="gramEnd"/>
      <w:r w:rsidRPr="00393A3D">
        <w:rPr>
          <w:rFonts w:ascii="Times New Roman" w:eastAsia="Times New Roman" w:hAnsi="Times New Roman" w:cs="Times New Roman"/>
          <w:i/>
          <w:sz w:val="24"/>
          <w:szCs w:val="24"/>
        </w:rPr>
        <w:t xml:space="preserve"> Away </w:t>
      </w:r>
      <w:r w:rsidRPr="00393A3D">
        <w:rPr>
          <w:rFonts w:ascii="Times New Roman" w:eastAsia="Times New Roman" w:hAnsi="Times New Roman" w:cs="Times New Roman"/>
          <w:sz w:val="24"/>
          <w:szCs w:val="24"/>
        </w:rPr>
        <w:t xml:space="preserve">, 2021. https://www.netflix.com/search?q=pray%20&amp;jbv=81040370. </w:t>
      </w:r>
    </w:p>
    <w:p w14:paraId="00000034" w14:textId="77777777" w:rsidR="004533CA" w:rsidRDefault="004533CA">
      <w:pPr>
        <w:spacing w:line="240" w:lineRule="auto"/>
        <w:rPr>
          <w:rFonts w:ascii="Times New Roman" w:eastAsia="Times New Roman" w:hAnsi="Times New Roman" w:cs="Times New Roman"/>
          <w:sz w:val="20"/>
          <w:szCs w:val="20"/>
        </w:rPr>
      </w:pPr>
    </w:p>
    <w:p w14:paraId="00000035" w14:textId="77777777" w:rsidR="004533CA" w:rsidRDefault="004533CA">
      <w:pPr>
        <w:spacing w:before="240" w:after="240"/>
        <w:ind w:left="580" w:hanging="20"/>
        <w:rPr>
          <w:rFonts w:ascii="Times New Roman" w:eastAsia="Times New Roman" w:hAnsi="Times New Roman" w:cs="Times New Roman"/>
          <w:sz w:val="20"/>
          <w:szCs w:val="20"/>
        </w:rPr>
      </w:pPr>
    </w:p>
    <w:p w14:paraId="00000036" w14:textId="77777777" w:rsidR="004533CA" w:rsidRDefault="004533CA"/>
    <w:sectPr w:rsidR="004533C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26B2C" w14:textId="77777777" w:rsidR="00591421" w:rsidRDefault="00591421">
      <w:pPr>
        <w:spacing w:line="240" w:lineRule="auto"/>
      </w:pPr>
      <w:r>
        <w:separator/>
      </w:r>
    </w:p>
  </w:endnote>
  <w:endnote w:type="continuationSeparator" w:id="0">
    <w:p w14:paraId="77887F3B" w14:textId="77777777" w:rsidR="00591421" w:rsidRDefault="005914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B71A9" w14:textId="77777777" w:rsidR="00591421" w:rsidRDefault="00591421">
      <w:pPr>
        <w:spacing w:line="240" w:lineRule="auto"/>
      </w:pPr>
      <w:r>
        <w:separator/>
      </w:r>
    </w:p>
  </w:footnote>
  <w:footnote w:type="continuationSeparator" w:id="0">
    <w:p w14:paraId="64F9B71F" w14:textId="77777777" w:rsidR="00591421" w:rsidRDefault="00591421">
      <w:pPr>
        <w:spacing w:line="240" w:lineRule="auto"/>
      </w:pPr>
      <w:r>
        <w:continuationSeparator/>
      </w:r>
    </w:p>
  </w:footnote>
  <w:footnote w:id="1">
    <w:p w14:paraId="0000003D" w14:textId="77777777" w:rsidR="004533CA" w:rsidRDefault="00000000">
      <w:pPr>
        <w:spacing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Graham, </w:t>
      </w:r>
      <w:proofErr w:type="gramStart"/>
      <w:r>
        <w:rPr>
          <w:rFonts w:ascii="Times New Roman" w:eastAsia="Times New Roman" w:hAnsi="Times New Roman" w:cs="Times New Roman"/>
          <w:sz w:val="20"/>
          <w:szCs w:val="20"/>
        </w:rPr>
        <w:t>Tiffany  C.</w:t>
      </w:r>
      <w:proofErr w:type="gramEnd"/>
      <w:r>
        <w:rPr>
          <w:rFonts w:ascii="Times New Roman" w:eastAsia="Times New Roman" w:hAnsi="Times New Roman" w:cs="Times New Roman"/>
          <w:sz w:val="20"/>
          <w:szCs w:val="20"/>
        </w:rPr>
        <w:t xml:space="preserve"> “CONVERSION THERAPY: A BRIEF REFLECTION ON THE HISTORY OF THE PRACTICE AND CONTEMPORARY REGULATORY EFFORTS.” </w:t>
      </w:r>
      <w:r>
        <w:rPr>
          <w:rFonts w:ascii="Times New Roman" w:eastAsia="Times New Roman" w:hAnsi="Times New Roman" w:cs="Times New Roman"/>
          <w:i/>
          <w:sz w:val="20"/>
          <w:szCs w:val="20"/>
        </w:rPr>
        <w:t xml:space="preserve">Creighton Law Review </w:t>
      </w:r>
      <w:r>
        <w:rPr>
          <w:rFonts w:ascii="Times New Roman" w:eastAsia="Times New Roman" w:hAnsi="Times New Roman" w:cs="Times New Roman"/>
          <w:sz w:val="20"/>
          <w:szCs w:val="20"/>
        </w:rPr>
        <w:t xml:space="preserve">52, no. 4 (2019): 419–26. </w:t>
      </w:r>
    </w:p>
  </w:footnote>
  <w:footnote w:id="2">
    <w:p w14:paraId="0000003A" w14:textId="77777777" w:rsidR="004533CA" w:rsidRDefault="00000000">
      <w:pPr>
        <w:spacing w:line="240" w:lineRule="auto"/>
        <w:rPr>
          <w:rFonts w:ascii="Times New Roman" w:eastAsia="Times New Roman" w:hAnsi="Times New Roman" w:cs="Times New Roman"/>
        </w:rPr>
      </w:pPr>
      <w:r>
        <w:rPr>
          <w:vertAlign w:val="superscript"/>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rPr>
        <w:t>Anderson, Joel R., Timothy W. Jones, Jennifer Power, Tiffany M. Jones, Nathan Despott, Maria Pallotta-</w:t>
      </w:r>
      <w:proofErr w:type="spellStart"/>
      <w:r>
        <w:rPr>
          <w:rFonts w:ascii="Times New Roman" w:eastAsia="Times New Roman" w:hAnsi="Times New Roman" w:cs="Times New Roman"/>
        </w:rPr>
        <w:t>Chiarolli</w:t>
      </w:r>
      <w:proofErr w:type="spellEnd"/>
      <w:r>
        <w:rPr>
          <w:rFonts w:ascii="Times New Roman" w:eastAsia="Times New Roman" w:hAnsi="Times New Roman" w:cs="Times New Roman"/>
        </w:rPr>
        <w:t xml:space="preserve">, and Percy Gurtler. “Engaging Mental Health Service Providers to Recognize and Support Conversion Practice Survivors through Their Journey to Recovery.” </w:t>
      </w:r>
      <w:r>
        <w:rPr>
          <w:rFonts w:ascii="Times New Roman" w:eastAsia="Times New Roman" w:hAnsi="Times New Roman" w:cs="Times New Roman"/>
          <w:i/>
        </w:rPr>
        <w:t>Cognitive and Behavioral Practice</w:t>
      </w:r>
      <w:r>
        <w:rPr>
          <w:rFonts w:ascii="Times New Roman" w:eastAsia="Times New Roman" w:hAnsi="Times New Roman" w:cs="Times New Roman"/>
        </w:rPr>
        <w:t xml:space="preserve"> 31, no. 1 (February 2024): 20–25. </w:t>
      </w:r>
      <w:hyperlink r:id="rId1">
        <w:r>
          <w:rPr>
            <w:rFonts w:ascii="Times New Roman" w:eastAsia="Times New Roman" w:hAnsi="Times New Roman" w:cs="Times New Roman"/>
            <w:color w:val="1155CC"/>
            <w:u w:val="single"/>
          </w:rPr>
          <w:t>https://doi.org/10.1016/j.cbpra.2023.08.005</w:t>
        </w:r>
      </w:hyperlink>
      <w:r>
        <w:rPr>
          <w:rFonts w:ascii="Times New Roman" w:eastAsia="Times New Roman" w:hAnsi="Times New Roman" w:cs="Times New Roman"/>
        </w:rPr>
        <w:t>.</w:t>
      </w:r>
    </w:p>
    <w:p w14:paraId="0000003B" w14:textId="77777777" w:rsidR="004533CA" w:rsidRDefault="004533CA">
      <w:pPr>
        <w:spacing w:line="240" w:lineRule="auto"/>
        <w:rPr>
          <w:rFonts w:ascii="Times New Roman" w:eastAsia="Times New Roman" w:hAnsi="Times New Roman" w:cs="Times New Roman"/>
        </w:rPr>
      </w:pPr>
    </w:p>
  </w:footnote>
  <w:footnote w:id="3">
    <w:p w14:paraId="00000043" w14:textId="77777777" w:rsidR="004533CA" w:rsidRDefault="00000000">
      <w:pPr>
        <w:spacing w:line="240" w:lineRule="auto"/>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i/>
          <w:sz w:val="20"/>
          <w:szCs w:val="20"/>
        </w:rPr>
        <w:t xml:space="preserve">Pray </w:t>
      </w:r>
      <w:proofErr w:type="gramStart"/>
      <w:r>
        <w:rPr>
          <w:rFonts w:ascii="Times New Roman" w:eastAsia="Times New Roman" w:hAnsi="Times New Roman" w:cs="Times New Roman"/>
          <w:i/>
          <w:sz w:val="20"/>
          <w:szCs w:val="20"/>
        </w:rPr>
        <w:t xml:space="preserve">Away </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proofErr w:type="gramStart"/>
      <w:r>
        <w:rPr>
          <w:rFonts w:ascii="Times New Roman" w:eastAsia="Times New Roman" w:hAnsi="Times New Roman" w:cs="Times New Roman"/>
          <w:i/>
          <w:sz w:val="20"/>
          <w:szCs w:val="20"/>
        </w:rPr>
        <w:t>Netflix:Pray</w:t>
      </w:r>
      <w:proofErr w:type="spellEnd"/>
      <w:proofErr w:type="gramEnd"/>
      <w:r>
        <w:rPr>
          <w:rFonts w:ascii="Times New Roman" w:eastAsia="Times New Roman" w:hAnsi="Times New Roman" w:cs="Times New Roman"/>
          <w:i/>
          <w:sz w:val="20"/>
          <w:szCs w:val="20"/>
        </w:rPr>
        <w:t xml:space="preserve"> Away </w:t>
      </w:r>
      <w:r>
        <w:rPr>
          <w:rFonts w:ascii="Times New Roman" w:eastAsia="Times New Roman" w:hAnsi="Times New Roman" w:cs="Times New Roman"/>
          <w:sz w:val="20"/>
          <w:szCs w:val="20"/>
        </w:rPr>
        <w:t xml:space="preserve">, 2021. https://www.netflix.com/search?q=pray%20&amp;jbv=81040370. </w:t>
      </w:r>
    </w:p>
    <w:p w14:paraId="00000044" w14:textId="77777777" w:rsidR="004533CA" w:rsidRDefault="004533CA">
      <w:pPr>
        <w:spacing w:line="240" w:lineRule="auto"/>
        <w:rPr>
          <w:sz w:val="20"/>
          <w:szCs w:val="20"/>
        </w:rPr>
      </w:pPr>
    </w:p>
  </w:footnote>
  <w:footnote w:id="4">
    <w:p w14:paraId="00000038" w14:textId="77777777" w:rsidR="004533CA" w:rsidRDefault="00000000">
      <w:pPr>
        <w:spacing w:line="240" w:lineRule="auto"/>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rPr>
        <w:t>Anderson, Joel R., Timothy W. Jones, Jennifer Power, Tiffany M. Jones, Nathan Despott, Maria Pallotta-</w:t>
      </w:r>
      <w:proofErr w:type="spellStart"/>
      <w:r>
        <w:rPr>
          <w:rFonts w:ascii="Times New Roman" w:eastAsia="Times New Roman" w:hAnsi="Times New Roman" w:cs="Times New Roman"/>
        </w:rPr>
        <w:t>Chiarolli</w:t>
      </w:r>
      <w:proofErr w:type="spellEnd"/>
      <w:r>
        <w:rPr>
          <w:rFonts w:ascii="Times New Roman" w:eastAsia="Times New Roman" w:hAnsi="Times New Roman" w:cs="Times New Roman"/>
        </w:rPr>
        <w:t xml:space="preserve">, and Percy Gurtler. “Engaging Mental Health Service Providers to Recognize and Support Conversion Practice Survivors through Their Journey to Recovery.” </w:t>
      </w:r>
      <w:r>
        <w:rPr>
          <w:rFonts w:ascii="Times New Roman" w:eastAsia="Times New Roman" w:hAnsi="Times New Roman" w:cs="Times New Roman"/>
          <w:i/>
        </w:rPr>
        <w:t>Cognitive and Behavioral Practice</w:t>
      </w:r>
      <w:r>
        <w:rPr>
          <w:rFonts w:ascii="Times New Roman" w:eastAsia="Times New Roman" w:hAnsi="Times New Roman" w:cs="Times New Roman"/>
        </w:rPr>
        <w:t xml:space="preserve"> 31, no. 1 (February 2024): 20–25. https://doi.org/10.1016/j.cbpra.2023.08.005.</w:t>
      </w:r>
    </w:p>
    <w:p w14:paraId="00000039" w14:textId="77777777" w:rsidR="004533CA" w:rsidRDefault="004533CA">
      <w:pPr>
        <w:spacing w:line="240" w:lineRule="auto"/>
        <w:rPr>
          <w:sz w:val="20"/>
          <w:szCs w:val="20"/>
        </w:rPr>
      </w:pPr>
    </w:p>
  </w:footnote>
  <w:footnote w:id="5">
    <w:p w14:paraId="0000003C" w14:textId="77777777" w:rsidR="004533CA" w:rsidRDefault="00000000">
      <w:pPr>
        <w:spacing w:before="240" w:after="240"/>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rPr>
        <w:t>Anderson, Joel R., Timothy W. Jones, Jennifer Power, Tiffany M. Jones, Nathan Despott, Maria Pallotta-</w:t>
      </w:r>
      <w:proofErr w:type="spellStart"/>
      <w:r>
        <w:rPr>
          <w:rFonts w:ascii="Times New Roman" w:eastAsia="Times New Roman" w:hAnsi="Times New Roman" w:cs="Times New Roman"/>
        </w:rPr>
        <w:t>Chiarolli</w:t>
      </w:r>
      <w:proofErr w:type="spellEnd"/>
      <w:r>
        <w:rPr>
          <w:rFonts w:ascii="Times New Roman" w:eastAsia="Times New Roman" w:hAnsi="Times New Roman" w:cs="Times New Roman"/>
        </w:rPr>
        <w:t xml:space="preserve">, and Percy Gurtler. “Engaging Mental Health Service Providers to Recognize and Support Conversion Practice Survivors through Their Journey to Recovery.” </w:t>
      </w:r>
      <w:r>
        <w:rPr>
          <w:rFonts w:ascii="Times New Roman" w:eastAsia="Times New Roman" w:hAnsi="Times New Roman" w:cs="Times New Roman"/>
          <w:i/>
        </w:rPr>
        <w:t>Cognitive and Behavioral Practice</w:t>
      </w:r>
      <w:r>
        <w:rPr>
          <w:rFonts w:ascii="Times New Roman" w:eastAsia="Times New Roman" w:hAnsi="Times New Roman" w:cs="Times New Roman"/>
        </w:rPr>
        <w:t xml:space="preserve"> 31, no. 1 (February 2024): 20–25. https://doi.org/10.1016/j.cbpra.2023.08.005.</w:t>
      </w:r>
    </w:p>
  </w:footnote>
  <w:footnote w:id="6">
    <w:p w14:paraId="00000040" w14:textId="77777777" w:rsidR="004533CA" w:rsidRDefault="00000000">
      <w:pPr>
        <w:spacing w:line="240" w:lineRule="auto"/>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i/>
          <w:sz w:val="20"/>
          <w:szCs w:val="20"/>
        </w:rPr>
        <w:t xml:space="preserve">Pray </w:t>
      </w:r>
      <w:proofErr w:type="gramStart"/>
      <w:r>
        <w:rPr>
          <w:rFonts w:ascii="Times New Roman" w:eastAsia="Times New Roman" w:hAnsi="Times New Roman" w:cs="Times New Roman"/>
          <w:i/>
          <w:sz w:val="20"/>
          <w:szCs w:val="20"/>
        </w:rPr>
        <w:t xml:space="preserve">Away </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proofErr w:type="gramStart"/>
      <w:r>
        <w:rPr>
          <w:rFonts w:ascii="Times New Roman" w:eastAsia="Times New Roman" w:hAnsi="Times New Roman" w:cs="Times New Roman"/>
          <w:i/>
          <w:sz w:val="20"/>
          <w:szCs w:val="20"/>
        </w:rPr>
        <w:t>Netflix:Pray</w:t>
      </w:r>
      <w:proofErr w:type="spellEnd"/>
      <w:proofErr w:type="gramEnd"/>
      <w:r>
        <w:rPr>
          <w:rFonts w:ascii="Times New Roman" w:eastAsia="Times New Roman" w:hAnsi="Times New Roman" w:cs="Times New Roman"/>
          <w:i/>
          <w:sz w:val="20"/>
          <w:szCs w:val="20"/>
        </w:rPr>
        <w:t xml:space="preserve"> Away </w:t>
      </w:r>
      <w:r>
        <w:rPr>
          <w:rFonts w:ascii="Times New Roman" w:eastAsia="Times New Roman" w:hAnsi="Times New Roman" w:cs="Times New Roman"/>
          <w:sz w:val="20"/>
          <w:szCs w:val="20"/>
        </w:rPr>
        <w:t xml:space="preserve">, 2021. https://www.netflix.com/search?q=pray%20&amp;jbv=81040370. </w:t>
      </w:r>
    </w:p>
    <w:p w14:paraId="00000041" w14:textId="77777777" w:rsidR="004533CA" w:rsidRDefault="004533CA">
      <w:pPr>
        <w:spacing w:line="240" w:lineRule="auto"/>
        <w:rPr>
          <w:sz w:val="20"/>
          <w:szCs w:val="20"/>
        </w:rPr>
      </w:pPr>
    </w:p>
  </w:footnote>
  <w:footnote w:id="7">
    <w:p w14:paraId="0000003E" w14:textId="77777777" w:rsidR="004533CA" w:rsidRDefault="00000000">
      <w:pPr>
        <w:spacing w:line="240" w:lineRule="auto"/>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i/>
          <w:sz w:val="20"/>
          <w:szCs w:val="20"/>
        </w:rPr>
        <w:t xml:space="preserve">Pray </w:t>
      </w:r>
      <w:proofErr w:type="gramStart"/>
      <w:r>
        <w:rPr>
          <w:rFonts w:ascii="Times New Roman" w:eastAsia="Times New Roman" w:hAnsi="Times New Roman" w:cs="Times New Roman"/>
          <w:i/>
          <w:sz w:val="20"/>
          <w:szCs w:val="20"/>
        </w:rPr>
        <w:t xml:space="preserve">Away </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proofErr w:type="gramStart"/>
      <w:r>
        <w:rPr>
          <w:rFonts w:ascii="Times New Roman" w:eastAsia="Times New Roman" w:hAnsi="Times New Roman" w:cs="Times New Roman"/>
          <w:i/>
          <w:sz w:val="20"/>
          <w:szCs w:val="20"/>
        </w:rPr>
        <w:t>Netflix:Pray</w:t>
      </w:r>
      <w:proofErr w:type="spellEnd"/>
      <w:proofErr w:type="gramEnd"/>
      <w:r>
        <w:rPr>
          <w:rFonts w:ascii="Times New Roman" w:eastAsia="Times New Roman" w:hAnsi="Times New Roman" w:cs="Times New Roman"/>
          <w:i/>
          <w:sz w:val="20"/>
          <w:szCs w:val="20"/>
        </w:rPr>
        <w:t xml:space="preserve"> Away </w:t>
      </w:r>
      <w:r>
        <w:rPr>
          <w:rFonts w:ascii="Times New Roman" w:eastAsia="Times New Roman" w:hAnsi="Times New Roman" w:cs="Times New Roman"/>
          <w:sz w:val="20"/>
          <w:szCs w:val="20"/>
        </w:rPr>
        <w:t xml:space="preserve">, 2021. https://www.netflix.com/search?q=pray%20&amp;jbv=81040370. </w:t>
      </w:r>
    </w:p>
    <w:p w14:paraId="0000003F" w14:textId="77777777" w:rsidR="004533CA" w:rsidRDefault="004533CA">
      <w:pPr>
        <w:spacing w:line="240" w:lineRule="auto"/>
        <w:rPr>
          <w:rFonts w:ascii="Times New Roman" w:eastAsia="Times New Roman" w:hAnsi="Times New Roman" w:cs="Times New Roman"/>
          <w:sz w:val="20"/>
          <w:szCs w:val="20"/>
        </w:rPr>
      </w:pPr>
    </w:p>
  </w:footnote>
  <w:footnote w:id="8">
    <w:p w14:paraId="2444F1C0" w14:textId="77777777" w:rsidR="00035C8F" w:rsidRDefault="00000000" w:rsidP="00035C8F">
      <w:pPr>
        <w:spacing w:line="240" w:lineRule="auto"/>
        <w:rPr>
          <w:rFonts w:ascii="Times New Roman" w:eastAsia="Times New Roman" w:hAnsi="Times New Roman" w:cs="Times New Roman"/>
          <w:sz w:val="20"/>
          <w:szCs w:val="20"/>
        </w:rPr>
      </w:pPr>
      <w:r>
        <w:rPr>
          <w:vertAlign w:val="superscript"/>
        </w:rPr>
        <w:footnoteRef/>
      </w:r>
      <w:r w:rsidR="00035C8F">
        <w:rPr>
          <w:rFonts w:ascii="Times New Roman" w:eastAsia="Times New Roman" w:hAnsi="Times New Roman" w:cs="Times New Roman"/>
          <w:i/>
          <w:sz w:val="20"/>
          <w:szCs w:val="20"/>
        </w:rPr>
        <w:t xml:space="preserve">Pray </w:t>
      </w:r>
      <w:proofErr w:type="gramStart"/>
      <w:r w:rsidR="00035C8F">
        <w:rPr>
          <w:rFonts w:ascii="Times New Roman" w:eastAsia="Times New Roman" w:hAnsi="Times New Roman" w:cs="Times New Roman"/>
          <w:i/>
          <w:sz w:val="20"/>
          <w:szCs w:val="20"/>
        </w:rPr>
        <w:t xml:space="preserve">Away </w:t>
      </w:r>
      <w:r w:rsidR="00035C8F">
        <w:rPr>
          <w:rFonts w:ascii="Times New Roman" w:eastAsia="Times New Roman" w:hAnsi="Times New Roman" w:cs="Times New Roman"/>
          <w:sz w:val="20"/>
          <w:szCs w:val="20"/>
        </w:rPr>
        <w:t>.</w:t>
      </w:r>
      <w:proofErr w:type="gramEnd"/>
      <w:r w:rsidR="00035C8F">
        <w:rPr>
          <w:rFonts w:ascii="Times New Roman" w:eastAsia="Times New Roman" w:hAnsi="Times New Roman" w:cs="Times New Roman"/>
          <w:sz w:val="20"/>
          <w:szCs w:val="20"/>
        </w:rPr>
        <w:t xml:space="preserve"> </w:t>
      </w:r>
      <w:proofErr w:type="spellStart"/>
      <w:proofErr w:type="gramStart"/>
      <w:r w:rsidR="00035C8F">
        <w:rPr>
          <w:rFonts w:ascii="Times New Roman" w:eastAsia="Times New Roman" w:hAnsi="Times New Roman" w:cs="Times New Roman"/>
          <w:i/>
          <w:sz w:val="20"/>
          <w:szCs w:val="20"/>
        </w:rPr>
        <w:t>Netflix:Pray</w:t>
      </w:r>
      <w:proofErr w:type="spellEnd"/>
      <w:proofErr w:type="gramEnd"/>
      <w:r w:rsidR="00035C8F">
        <w:rPr>
          <w:rFonts w:ascii="Times New Roman" w:eastAsia="Times New Roman" w:hAnsi="Times New Roman" w:cs="Times New Roman"/>
          <w:i/>
          <w:sz w:val="20"/>
          <w:szCs w:val="20"/>
        </w:rPr>
        <w:t xml:space="preserve"> Away </w:t>
      </w:r>
      <w:r w:rsidR="00035C8F">
        <w:rPr>
          <w:rFonts w:ascii="Times New Roman" w:eastAsia="Times New Roman" w:hAnsi="Times New Roman" w:cs="Times New Roman"/>
          <w:sz w:val="20"/>
          <w:szCs w:val="20"/>
        </w:rPr>
        <w:t xml:space="preserve">, 2021. https://www.netflix.com/search?q=pray%20&amp;jbv=81040370. </w:t>
      </w:r>
    </w:p>
    <w:p w14:paraId="00000037" w14:textId="03FB0B06" w:rsidR="004533CA" w:rsidRDefault="004533CA">
      <w:pPr>
        <w:spacing w:line="240" w:lineRule="auto"/>
        <w:rPr>
          <w:sz w:val="20"/>
          <w:szCs w:val="20"/>
        </w:rPr>
      </w:pPr>
    </w:p>
  </w:footnote>
  <w:footnote w:id="9">
    <w:p w14:paraId="00000042" w14:textId="77777777" w:rsidR="004533CA" w:rsidRDefault="00000000">
      <w:pPr>
        <w:spacing w:line="240" w:lineRule="auto"/>
        <w:rPr>
          <w:sz w:val="20"/>
          <w:szCs w:val="20"/>
        </w:rPr>
      </w:pPr>
      <w:r>
        <w:rPr>
          <w:vertAlign w:val="superscript"/>
        </w:rPr>
        <w:footnoteRef/>
      </w:r>
      <w:r>
        <w:rPr>
          <w:sz w:val="20"/>
          <w:szCs w:val="20"/>
        </w:rPr>
        <w:t xml:space="preserve"> </w:t>
      </w:r>
      <w:r>
        <w:rPr>
          <w:rFonts w:ascii="Times New Roman" w:eastAsia="Times New Roman" w:hAnsi="Times New Roman" w:cs="Times New Roman"/>
          <w:i/>
          <w:sz w:val="20"/>
          <w:szCs w:val="20"/>
        </w:rPr>
        <w:t>Pray Away</w:t>
      </w:r>
      <w:r>
        <w:rPr>
          <w:rFonts w:ascii="Times New Roman" w:eastAsia="Times New Roman" w:hAnsi="Times New Roman" w:cs="Times New Roman"/>
          <w:sz w:val="20"/>
          <w:szCs w:val="20"/>
        </w:rPr>
        <w:t xml:space="preserve">. </w:t>
      </w:r>
      <w:proofErr w:type="spellStart"/>
      <w:proofErr w:type="gramStart"/>
      <w:r>
        <w:rPr>
          <w:rFonts w:ascii="Times New Roman" w:eastAsia="Times New Roman" w:hAnsi="Times New Roman" w:cs="Times New Roman"/>
          <w:i/>
          <w:sz w:val="20"/>
          <w:szCs w:val="20"/>
        </w:rPr>
        <w:t>Netflix:Pray</w:t>
      </w:r>
      <w:proofErr w:type="spellEnd"/>
      <w:proofErr w:type="gramEnd"/>
      <w:r>
        <w:rPr>
          <w:rFonts w:ascii="Times New Roman" w:eastAsia="Times New Roman" w:hAnsi="Times New Roman" w:cs="Times New Roman"/>
          <w:i/>
          <w:sz w:val="20"/>
          <w:szCs w:val="20"/>
        </w:rPr>
        <w:t xml:space="preserve"> Away </w:t>
      </w:r>
      <w:r>
        <w:rPr>
          <w:rFonts w:ascii="Times New Roman" w:eastAsia="Times New Roman" w:hAnsi="Times New Roman" w:cs="Times New Roman"/>
          <w:sz w:val="20"/>
          <w:szCs w:val="20"/>
        </w:rPr>
        <w:t xml:space="preserve">, 2021. https://www.netflix.com/search?q=pray%20&amp;jbv=81040370.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3CA"/>
    <w:rsid w:val="00035C8F"/>
    <w:rsid w:val="00393A3D"/>
    <w:rsid w:val="003E31AA"/>
    <w:rsid w:val="004533CA"/>
    <w:rsid w:val="00591421"/>
    <w:rsid w:val="006B1F73"/>
    <w:rsid w:val="00EF0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1035"/>
  <w15:docId w15:val="{82D68EA0-4C1B-4022-BDED-F11DF667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1016/j.cbpra.2023.08.0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3</cp:revision>
  <dcterms:created xsi:type="dcterms:W3CDTF">2024-12-13T20:40:00Z</dcterms:created>
  <dcterms:modified xsi:type="dcterms:W3CDTF">2024-12-13T20:40:00Z</dcterms:modified>
</cp:coreProperties>
</file>